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69372" w14:textId="6837377F" w:rsidR="00F66DF6" w:rsidRPr="00F66DF6" w:rsidRDefault="00C42229" w:rsidP="00F66DF6">
      <w:pPr>
        <w:pStyle w:val="Overskrift1"/>
      </w:pPr>
      <w:r>
        <w:t xml:space="preserve">Arbeid for å </w:t>
      </w:r>
      <w:r w:rsidR="009F1A6A">
        <w:t xml:space="preserve">sikre svaksynte og blinde bevegelsesfrihet gjennom den </w:t>
      </w:r>
      <w:r w:rsidR="00F66DF6" w:rsidRPr="00F66DF6">
        <w:t>utvidede</w:t>
      </w:r>
      <w:r w:rsidR="009F1A6A">
        <w:t>, nasjonale</w:t>
      </w:r>
      <w:r w:rsidR="00F66DF6" w:rsidRPr="00F66DF6">
        <w:t xml:space="preserve"> TT-ordningen</w:t>
      </w:r>
    </w:p>
    <w:p w14:paraId="537539B9" w14:textId="77777777" w:rsidR="009F1A6A" w:rsidRDefault="009F1A6A"/>
    <w:p w14:paraId="5E8680EC" w14:textId="55B13FB9" w:rsidR="00B13712" w:rsidRDefault="00B13712" w:rsidP="00D5015D">
      <w:pPr>
        <w:pStyle w:val="Overskrift2"/>
      </w:pPr>
      <w:r>
        <w:t>Siste hendelser</w:t>
      </w:r>
    </w:p>
    <w:p w14:paraId="065D4E5E" w14:textId="05DF318C" w:rsidR="00F25AEC" w:rsidRDefault="00F25AEC" w:rsidP="00B13712">
      <w:pPr>
        <w:pStyle w:val="Listeavsnitt"/>
        <w:numPr>
          <w:ilvl w:val="0"/>
          <w:numId w:val="3"/>
        </w:numPr>
      </w:pPr>
      <w:r>
        <w:t xml:space="preserve">Februar 2024: Oslo </w:t>
      </w:r>
      <w:proofErr w:type="spellStart"/>
      <w:r>
        <w:t>Economics</w:t>
      </w:r>
      <w:proofErr w:type="spellEnd"/>
      <w:r>
        <w:t xml:space="preserve"> sender ut en rapport </w:t>
      </w:r>
      <w:r w:rsidR="00B9031E">
        <w:t>om den utvidede nasjonale TT-ordningen, inkludert forslag til nye retningslinjer.</w:t>
      </w:r>
    </w:p>
    <w:p w14:paraId="2BE21FEF" w14:textId="765AD980" w:rsidR="00265573" w:rsidRDefault="00265573" w:rsidP="00B13712">
      <w:pPr>
        <w:pStyle w:val="Listeavsnitt"/>
        <w:numPr>
          <w:ilvl w:val="0"/>
          <w:numId w:val="3"/>
        </w:numPr>
      </w:pPr>
      <w:r>
        <w:t>Den 23. mai:</w:t>
      </w:r>
      <w:r w:rsidR="00116F61">
        <w:t xml:space="preserve"> </w:t>
      </w:r>
      <w:r w:rsidR="007F5872">
        <w:t>F</w:t>
      </w:r>
      <w:r w:rsidR="00116F61">
        <w:t xml:space="preserve">rist for å gi innspill til Oslo </w:t>
      </w:r>
      <w:proofErr w:type="spellStart"/>
      <w:r w:rsidR="00116F61">
        <w:t>Economics</w:t>
      </w:r>
      <w:proofErr w:type="spellEnd"/>
      <w:r w:rsidR="00116F61">
        <w:t xml:space="preserve"> sitt </w:t>
      </w:r>
      <w:r w:rsidR="00394676">
        <w:t xml:space="preserve">forslag. </w:t>
      </w:r>
      <w:r w:rsidR="00376F1C">
        <w:t xml:space="preserve">Det </w:t>
      </w:r>
      <w:r w:rsidR="004C6BD7">
        <w:t>e</w:t>
      </w:r>
      <w:r w:rsidR="00376F1C">
        <w:t xml:space="preserve">r stor enighet blant </w:t>
      </w:r>
      <w:r w:rsidR="004C6BD7">
        <w:t xml:space="preserve">fylkeskommuner, organisasjoner og andre om </w:t>
      </w:r>
      <w:r w:rsidR="00376F1C">
        <w:t xml:space="preserve">at de økonomiske rammene i ordningen må økes. Ellers </w:t>
      </w:r>
      <w:r w:rsidR="003754C3">
        <w:t xml:space="preserve">er </w:t>
      </w:r>
      <w:r w:rsidR="00376F1C">
        <w:t>det ulike syn på størrelsen på målgruppen og</w:t>
      </w:r>
      <w:r w:rsidR="00FA3EF9">
        <w:t xml:space="preserve"> grunnlaget for tildeling. Norges Blindeforbund, FFO og Norges Handikapforbund </w:t>
      </w:r>
      <w:r w:rsidR="003754C3">
        <w:t xml:space="preserve">har et </w:t>
      </w:r>
      <w:r w:rsidR="00FA3EF9">
        <w:t xml:space="preserve">felles innspill som </w:t>
      </w:r>
      <w:r w:rsidR="00063658">
        <w:t xml:space="preserve">blant annet </w:t>
      </w:r>
      <w:r w:rsidR="00FA3EF9">
        <w:t>under</w:t>
      </w:r>
      <w:r w:rsidR="00063658">
        <w:t>streke</w:t>
      </w:r>
      <w:r w:rsidR="003754C3">
        <w:t>r</w:t>
      </w:r>
      <w:r w:rsidR="00063658">
        <w:t xml:space="preserve"> viktigheten av å ivareta de som inngår i ordningen i dag. I tillegg </w:t>
      </w:r>
      <w:r w:rsidR="003754C3">
        <w:t xml:space="preserve">leverer </w:t>
      </w:r>
      <w:r w:rsidR="002B0D62">
        <w:t xml:space="preserve">Norges Blindeforbund et eget omfattende innspill, og flere av fylkeslagene </w:t>
      </w:r>
      <w:r w:rsidR="003754C3">
        <w:t xml:space="preserve">gjør </w:t>
      </w:r>
      <w:r w:rsidR="002B0D62">
        <w:t>det samme.</w:t>
      </w:r>
    </w:p>
    <w:p w14:paraId="508FFC1B" w14:textId="3B958856" w:rsidR="00B13712" w:rsidRDefault="001442A8" w:rsidP="00B13712">
      <w:pPr>
        <w:pStyle w:val="Listeavsnitt"/>
        <w:numPr>
          <w:ilvl w:val="0"/>
          <w:numId w:val="3"/>
        </w:numPr>
      </w:pPr>
      <w:r>
        <w:t xml:space="preserve">Den 28. juni: </w:t>
      </w:r>
      <w:r w:rsidR="00B13712">
        <w:t xml:space="preserve">Oslo </w:t>
      </w:r>
      <w:proofErr w:type="spellStart"/>
      <w:r w:rsidR="00B13712">
        <w:t>Economics</w:t>
      </w:r>
      <w:proofErr w:type="spellEnd"/>
      <w:r w:rsidR="00B13712">
        <w:t xml:space="preserve"> </w:t>
      </w:r>
      <w:r w:rsidR="008579AF">
        <w:t xml:space="preserve">har bearbeidet sitt forslag etter innspillene og </w:t>
      </w:r>
      <w:r w:rsidR="002B0D62">
        <w:t xml:space="preserve">leverer </w:t>
      </w:r>
      <w:r>
        <w:t>endelig rapport til samferdselsdepartementet.</w:t>
      </w:r>
    </w:p>
    <w:p w14:paraId="235231F6" w14:textId="011EDB83" w:rsidR="001442A8" w:rsidRDefault="0007043D" w:rsidP="00B13712">
      <w:pPr>
        <w:pStyle w:val="Listeavsnitt"/>
        <w:numPr>
          <w:ilvl w:val="0"/>
          <w:numId w:val="3"/>
        </w:numPr>
      </w:pPr>
      <w:r>
        <w:t>Uke 32, 5.</w:t>
      </w:r>
      <w:r w:rsidR="007C1921">
        <w:t xml:space="preserve">9. august: Samferdselsdepartementet avholder møter med organisasjonene og fylkeskommunene </w:t>
      </w:r>
      <w:r w:rsidR="006A0811">
        <w:t xml:space="preserve">om </w:t>
      </w:r>
      <w:r w:rsidR="007C1921">
        <w:t>rapporten</w:t>
      </w:r>
      <w:r w:rsidR="004744DA">
        <w:t xml:space="preserve"> fra Oslo </w:t>
      </w:r>
      <w:proofErr w:type="spellStart"/>
      <w:r w:rsidR="004744DA">
        <w:t>Economics</w:t>
      </w:r>
      <w:proofErr w:type="spellEnd"/>
      <w:r w:rsidR="007C1921">
        <w:t>.</w:t>
      </w:r>
    </w:p>
    <w:p w14:paraId="42E5A74B" w14:textId="0003EAAF" w:rsidR="007C1921" w:rsidRDefault="004744DA" w:rsidP="00B13712">
      <w:pPr>
        <w:pStyle w:val="Listeavsnitt"/>
        <w:numPr>
          <w:ilvl w:val="0"/>
          <w:numId w:val="3"/>
        </w:numPr>
      </w:pPr>
      <w:r>
        <w:t xml:space="preserve">15. august: Norges Blindeforbund avholder et seminar i </w:t>
      </w:r>
      <w:proofErr w:type="spellStart"/>
      <w:r>
        <w:t>Arendalsuka</w:t>
      </w:r>
      <w:proofErr w:type="spellEnd"/>
      <w:r>
        <w:t xml:space="preserve"> om TT-ordningen, der statssekretær </w:t>
      </w:r>
      <w:r w:rsidR="004810A9">
        <w:t xml:space="preserve">i samferdselsdepartementet Cecilie </w:t>
      </w:r>
      <w:proofErr w:type="spellStart"/>
      <w:r w:rsidR="004810A9">
        <w:t>Knibe</w:t>
      </w:r>
      <w:proofErr w:type="spellEnd"/>
      <w:r w:rsidR="004810A9">
        <w:t xml:space="preserve"> </w:t>
      </w:r>
      <w:proofErr w:type="spellStart"/>
      <w:r w:rsidR="004810A9">
        <w:t>Kroglund</w:t>
      </w:r>
      <w:proofErr w:type="spellEnd"/>
      <w:r w:rsidR="004810A9">
        <w:t xml:space="preserve"> </w:t>
      </w:r>
      <w:r w:rsidR="00D545FB">
        <w:t>uttale</w:t>
      </w:r>
      <w:r w:rsidR="00AD2C64">
        <w:t>r</w:t>
      </w:r>
      <w:r w:rsidR="00D545FB">
        <w:t xml:space="preserve"> at departementet vil fastsette nye nasjonale retningslinjer i løpet av høsten 2024</w:t>
      </w:r>
      <w:r w:rsidR="006D5284">
        <w:t xml:space="preserve"> og at disse vil gjelde fra 2026.</w:t>
      </w:r>
    </w:p>
    <w:p w14:paraId="38033644" w14:textId="7BD2A68E" w:rsidR="006D5284" w:rsidRDefault="006D5284" w:rsidP="00B13712">
      <w:pPr>
        <w:pStyle w:val="Listeavsnitt"/>
        <w:numPr>
          <w:ilvl w:val="0"/>
          <w:numId w:val="3"/>
        </w:numPr>
      </w:pPr>
      <w:r>
        <w:t>7. oktober:</w:t>
      </w:r>
      <w:r w:rsidR="000E62B1">
        <w:t xml:space="preserve"> Regjeringen fremlegger statsbudsjett uten økning i rammen til den nasjonale TT-ordningen</w:t>
      </w:r>
      <w:r w:rsidR="000670DF">
        <w:t xml:space="preserve">. Regjeringen sier </w:t>
      </w:r>
      <w:r w:rsidR="00833F7C">
        <w:t xml:space="preserve">at formålet er å </w:t>
      </w:r>
      <w:r w:rsidR="000670DF">
        <w:t xml:space="preserve">gjøre ordningen </w:t>
      </w:r>
      <w:r w:rsidR="000670DF" w:rsidRPr="000670DF">
        <w:t>landsdekkende, ikke diskriminerer blant brukergrupper, og at forvaltningen av ordningen forenkles</w:t>
      </w:r>
      <w:r w:rsidR="00A953ED">
        <w:t>.</w:t>
      </w:r>
    </w:p>
    <w:p w14:paraId="3AD08DC0" w14:textId="77777777" w:rsidR="008D677F" w:rsidRDefault="008D677F"/>
    <w:p w14:paraId="7B1DC910" w14:textId="1DCAE453" w:rsidR="00D5015D" w:rsidRDefault="00D453D0" w:rsidP="00D5015D">
      <w:pPr>
        <w:pStyle w:val="Overskrift2"/>
      </w:pPr>
      <w:r>
        <w:t xml:space="preserve">Hva gjør </w:t>
      </w:r>
      <w:r w:rsidR="003E5EA6">
        <w:t xml:space="preserve">Norges Blindeforbund </w:t>
      </w:r>
      <w:r>
        <w:t>sentralt</w:t>
      </w:r>
      <w:r w:rsidR="00921155">
        <w:t xml:space="preserve"> nå</w:t>
      </w:r>
      <w:r>
        <w:t>?</w:t>
      </w:r>
    </w:p>
    <w:p w14:paraId="7486C4D1" w14:textId="6234E3BF" w:rsidR="00750988" w:rsidRDefault="007809E3" w:rsidP="00D5015D">
      <w:r>
        <w:t>Norges Blindeforbund sender</w:t>
      </w:r>
      <w:r w:rsidR="00001C0E">
        <w:t xml:space="preserve"> i løpet av uke 4</w:t>
      </w:r>
      <w:r w:rsidR="001B6BD2">
        <w:t>1</w:t>
      </w:r>
      <w:r w:rsidR="00001C0E">
        <w:t xml:space="preserve"> (senest 11. oktober)</w:t>
      </w:r>
      <w:r w:rsidR="006D19D6">
        <w:t xml:space="preserve"> </w:t>
      </w:r>
      <w:r>
        <w:t xml:space="preserve">et nytt innspill til samferdselsdepartementet </w:t>
      </w:r>
      <w:r w:rsidR="006D19D6">
        <w:t>med forslag til revidert formål og grunnlag for tildeling over den utvidede nasjonale TT-ordningen.</w:t>
      </w:r>
      <w:r w:rsidR="00750988">
        <w:t xml:space="preserve"> Hovedinnhold i forslaget:</w:t>
      </w:r>
    </w:p>
    <w:p w14:paraId="719C9938" w14:textId="69D1912D" w:rsidR="002B1300" w:rsidRDefault="002B1300" w:rsidP="00750988">
      <w:pPr>
        <w:pStyle w:val="Listeavsnitt"/>
        <w:numPr>
          <w:ilvl w:val="0"/>
          <w:numId w:val="3"/>
        </w:numPr>
      </w:pPr>
      <w:r>
        <w:t>Vi støtter at ordningen gjøres landsdekkende</w:t>
      </w:r>
      <w:r w:rsidR="009A693A">
        <w:t>, men vi understreker at dette vil kreve økte økonomiske rammer</w:t>
      </w:r>
      <w:r>
        <w:t>.</w:t>
      </w:r>
    </w:p>
    <w:p w14:paraId="55014702" w14:textId="24D7D554" w:rsidR="007809E3" w:rsidRDefault="00750988" w:rsidP="00750988">
      <w:pPr>
        <w:pStyle w:val="Listeavsnitt"/>
        <w:numPr>
          <w:ilvl w:val="0"/>
          <w:numId w:val="3"/>
        </w:numPr>
      </w:pPr>
      <w:r>
        <w:t>D</w:t>
      </w:r>
      <w:r w:rsidR="00012F95">
        <w:t>agens målgruppe med svaksynte, blinde og rullestolbrukere</w:t>
      </w:r>
      <w:r>
        <w:t xml:space="preserve"> </w:t>
      </w:r>
      <w:r w:rsidR="002F532C">
        <w:t xml:space="preserve">foreslås </w:t>
      </w:r>
      <w:r>
        <w:t>viderefør</w:t>
      </w:r>
      <w:r w:rsidR="002F532C">
        <w:t>t</w:t>
      </w:r>
      <w:r w:rsidR="00012F95">
        <w:t xml:space="preserve">, samtidig som </w:t>
      </w:r>
      <w:r w:rsidR="008E7137">
        <w:t xml:space="preserve">andre med tilsvarende behov også </w:t>
      </w:r>
      <w:r w:rsidR="003D1E05">
        <w:t>blir inkludert i ordningen</w:t>
      </w:r>
      <w:r w:rsidR="008E7137">
        <w:t>.</w:t>
      </w:r>
      <w:r w:rsidR="009A693A">
        <w:t xml:space="preserve"> Større målgruppe </w:t>
      </w:r>
      <w:r w:rsidR="0030589D">
        <w:t>kreve</w:t>
      </w:r>
      <w:r w:rsidR="003C67E3">
        <w:t>r også</w:t>
      </w:r>
      <w:r w:rsidR="0030589D">
        <w:t xml:space="preserve"> </w:t>
      </w:r>
      <w:r w:rsidR="00385659">
        <w:t>økte rammer.</w:t>
      </w:r>
    </w:p>
    <w:p w14:paraId="53A4A51E" w14:textId="2957367A" w:rsidR="00411CFF" w:rsidRDefault="00D9476D" w:rsidP="007809E3">
      <w:pPr>
        <w:pStyle w:val="Listeavsnitt"/>
        <w:numPr>
          <w:ilvl w:val="0"/>
          <w:numId w:val="3"/>
        </w:numPr>
      </w:pPr>
      <w:r>
        <w:t xml:space="preserve">220 enkeltreiser </w:t>
      </w:r>
      <w:r w:rsidR="00A74EAE">
        <w:t xml:space="preserve">årlig </w:t>
      </w:r>
      <w:r>
        <w:t xml:space="preserve">legges til grunn for de som inngår i ordningen. </w:t>
      </w:r>
      <w:r w:rsidR="00A74EAE">
        <w:t xml:space="preserve">Siden målgruppen blir større og behovene derfor kan variere </w:t>
      </w:r>
      <w:r w:rsidR="00796EAB">
        <w:t xml:space="preserve">mer, vil vi foreslå at de med åpenbart lavere behov kan tildeles halvparten, altså 110 enkeltreiser årlig. På samme måte kan de med åpenbart større behov, tildeles </w:t>
      </w:r>
      <w:r w:rsidR="00952851">
        <w:t xml:space="preserve">330 </w:t>
      </w:r>
      <w:r w:rsidR="00796EAB">
        <w:t>enkelt</w:t>
      </w:r>
      <w:r w:rsidR="00FF796C">
        <w:t>reiser.</w:t>
      </w:r>
    </w:p>
    <w:p w14:paraId="0E1AF347" w14:textId="15D81E01" w:rsidR="00B24CB3" w:rsidRDefault="00455ED3">
      <w:r>
        <w:lastRenderedPageBreak/>
        <w:t>Vi vil videreføre dialogen både med departementet og sentrale politikere for å understreke alvoret i situasjonen</w:t>
      </w:r>
      <w:r w:rsidR="006A0811">
        <w:t>, og vi</w:t>
      </w:r>
      <w:r w:rsidR="00641526">
        <w:t xml:space="preserve"> tar opp TT-ordningen i høringer om statsbudsjettet</w:t>
      </w:r>
      <w:r w:rsidR="005832E1">
        <w:t xml:space="preserve">, der målet blant annet er </w:t>
      </w:r>
      <w:r w:rsidR="00782648">
        <w:t xml:space="preserve">en </w:t>
      </w:r>
      <w:r w:rsidR="005832E1">
        <w:t>merknad som korrigerer regjeringens bilde av at ordningen er diskriminerende</w:t>
      </w:r>
      <w:r>
        <w:t>.</w:t>
      </w:r>
      <w:r w:rsidR="000924EA">
        <w:t xml:space="preserve"> Vi</w:t>
      </w:r>
      <w:r w:rsidR="00CA40A8">
        <w:t xml:space="preserve"> vil ha trykk mot SV og andre opposisjonspartier for å få </w:t>
      </w:r>
      <w:r w:rsidR="001B3579">
        <w:t xml:space="preserve">midler til å utvide TT-ordningen til </w:t>
      </w:r>
      <w:r w:rsidR="00CA40A8">
        <w:t>nye områder og helst bli</w:t>
      </w:r>
      <w:r w:rsidR="001B3579">
        <w:t xml:space="preserve"> landsdekkende</w:t>
      </w:r>
      <w:r w:rsidR="00CA40A8">
        <w:t xml:space="preserve"> i 2025.</w:t>
      </w:r>
      <w:r w:rsidR="003E5EA6">
        <w:t xml:space="preserve"> Vi lager også grunnlag for fylkeslagene.</w:t>
      </w:r>
    </w:p>
    <w:p w14:paraId="1535C8A2" w14:textId="77777777" w:rsidR="00455ED3" w:rsidRDefault="00455ED3"/>
    <w:p w14:paraId="1328D6D7" w14:textId="1664A216" w:rsidR="00455ED3" w:rsidRDefault="00455ED3" w:rsidP="003E5EA6">
      <w:pPr>
        <w:pStyle w:val="Overskrift2"/>
      </w:pPr>
      <w:r>
        <w:t xml:space="preserve">Hva </w:t>
      </w:r>
      <w:r w:rsidR="00CD7BCD">
        <w:t>gjør Norges Blindeforbunds fylkeslag?</w:t>
      </w:r>
    </w:p>
    <w:p w14:paraId="3116B734" w14:textId="5834D85A" w:rsidR="00B24CB3" w:rsidRDefault="003E5EA6">
      <w:r>
        <w:t>Det er tre ting fylkeslagene kan gjøre:</w:t>
      </w:r>
    </w:p>
    <w:p w14:paraId="4B073CF3" w14:textId="32592519" w:rsidR="003E5EA6" w:rsidRDefault="0044551B" w:rsidP="003E5EA6">
      <w:pPr>
        <w:pStyle w:val="Listeavsnitt"/>
        <w:numPr>
          <w:ilvl w:val="0"/>
          <w:numId w:val="3"/>
        </w:numPr>
      </w:pPr>
      <w:r>
        <w:t>Fortsatt sende informasjon til og be om møter med stortingsbenkene.</w:t>
      </w:r>
    </w:p>
    <w:p w14:paraId="584A8919" w14:textId="5A4C40BC" w:rsidR="0044551B" w:rsidRDefault="00370A9E" w:rsidP="003E5EA6">
      <w:pPr>
        <w:pStyle w:val="Listeavsnitt"/>
        <w:numPr>
          <w:ilvl w:val="0"/>
          <w:numId w:val="3"/>
        </w:numPr>
      </w:pPr>
      <w:r>
        <w:t xml:space="preserve">Jobbe med lokalaviser og NRKs </w:t>
      </w:r>
      <w:proofErr w:type="spellStart"/>
      <w:r>
        <w:t>regionkontor</w:t>
      </w:r>
      <w:proofErr w:type="spellEnd"/>
      <w:r>
        <w:t xml:space="preserve"> for å </w:t>
      </w:r>
      <w:r w:rsidR="00A51248">
        <w:t>få medieoppslag om viktigheten av TT-ordningen</w:t>
      </w:r>
      <w:r w:rsidR="005E2E4D">
        <w:t>.</w:t>
      </w:r>
      <w:r w:rsidR="00A51248">
        <w:t xml:space="preserve"> </w:t>
      </w:r>
      <w:r w:rsidR="005E2E4D">
        <w:t xml:space="preserve">I områder med utvidet TT-ordning i dag kan </w:t>
      </w:r>
      <w:r w:rsidR="00A51248">
        <w:t xml:space="preserve">enkeltpersoner </w:t>
      </w:r>
      <w:r w:rsidR="005E2E4D">
        <w:t xml:space="preserve">fortelle hva ordningen har betydd og hvilke konsekvenser det vil få om ordningen forsvinner. </w:t>
      </w:r>
      <w:r w:rsidR="005C43E6">
        <w:t>I områder uten ordning kan personer fortelle hva en slik ordning vil bety for frihet og selvstendighet, dersom den får et tilstrekkelig omfang.</w:t>
      </w:r>
    </w:p>
    <w:p w14:paraId="042619EC" w14:textId="0E669BEA" w:rsidR="005C43E6" w:rsidRDefault="005C43E6" w:rsidP="003E5EA6">
      <w:pPr>
        <w:pStyle w:val="Listeavsnitt"/>
        <w:numPr>
          <w:ilvl w:val="0"/>
          <w:numId w:val="3"/>
        </w:numPr>
      </w:pPr>
      <w:r>
        <w:t xml:space="preserve">Ha dialog med fylkeskommunen om den fylkeskommunale TT-ordningen, og også om den nasjonale ordningen, slik at fylkeskommunen forstår </w:t>
      </w:r>
      <w:r w:rsidR="00086129">
        <w:t>svaksynte og blindes behov.</w:t>
      </w:r>
    </w:p>
    <w:p w14:paraId="49E8E72E" w14:textId="77777777" w:rsidR="00086129" w:rsidRDefault="00086129"/>
    <w:p w14:paraId="54150109" w14:textId="5649D270" w:rsidR="00F73FFC" w:rsidRDefault="00CE44BF" w:rsidP="00CE44BF">
      <w:pPr>
        <w:pStyle w:val="Overskrift2"/>
      </w:pPr>
      <w:r>
        <w:t>Hovedbudskap</w:t>
      </w:r>
    </w:p>
    <w:p w14:paraId="530E70ED" w14:textId="71F302A4" w:rsidR="00F73FFC" w:rsidRDefault="0094183F">
      <w:r>
        <w:t>Svaksynte og blinde kan ikke kjøre egen bil</w:t>
      </w:r>
      <w:r w:rsidR="002A6B47">
        <w:t>.</w:t>
      </w:r>
      <w:r>
        <w:t xml:space="preserve"> </w:t>
      </w:r>
      <w:r w:rsidR="002A6B47">
        <w:t>S</w:t>
      </w:r>
      <w:r w:rsidR="005165CA">
        <w:t>om følge av hindringer</w:t>
      </w:r>
      <w:r w:rsidR="00294A02">
        <w:t xml:space="preserve"> og manglende universell utforming</w:t>
      </w:r>
      <w:r w:rsidR="002A6B47">
        <w:t xml:space="preserve">, i tillegg til vanskeligheter med å finne fram på ukjente steder, har </w:t>
      </w:r>
      <w:r w:rsidR="00983A16">
        <w:t xml:space="preserve">personer med synsnedsettelser </w:t>
      </w:r>
      <w:r w:rsidR="002F3056">
        <w:t xml:space="preserve">ofte heller </w:t>
      </w:r>
      <w:r w:rsidR="002A6B47">
        <w:t xml:space="preserve">ikke </w:t>
      </w:r>
      <w:r w:rsidR="00983A16">
        <w:t xml:space="preserve">andre transportalternativer. Dør-til-dør-transport er derfor eneste reelle alternativ for mange </w:t>
      </w:r>
      <w:r w:rsidR="00DB5F7F">
        <w:t xml:space="preserve">for å </w:t>
      </w:r>
      <w:r w:rsidR="00840E5F">
        <w:t>leve et fritt og selvstendig liv.</w:t>
      </w:r>
    </w:p>
    <w:p w14:paraId="37510BB9" w14:textId="54397C7A" w:rsidR="00840E5F" w:rsidRDefault="00657DCB">
      <w:r>
        <w:t>Sammen med rullestolbrukere har svaksynte og blinde i enkelte fylker derfor fått et utvidet, nasjonalt transporttilbud</w:t>
      </w:r>
      <w:r w:rsidR="003A4A02">
        <w:t xml:space="preserve"> fra 2012.</w:t>
      </w:r>
      <w:r w:rsidR="00C308B6">
        <w:t xml:space="preserve"> Målet har vært 200 fritidsreiser årlig, og selv om beløpene </w:t>
      </w:r>
      <w:r w:rsidR="00130A7E">
        <w:t>sjelden har gitt rom for så mange turer i praksis, har ordningen gitt betydelig økt frihet.</w:t>
      </w:r>
      <w:r w:rsidR="00305B77">
        <w:t xml:space="preserve"> </w:t>
      </w:r>
      <w:r w:rsidR="00305B77" w:rsidRPr="00305B77">
        <w:t>Det å få et slikt transporttilbud har blitt beskrevet som å få av seg fotlenka.</w:t>
      </w:r>
      <w:r w:rsidR="003A4A02">
        <w:t xml:space="preserve"> Etter 2019 er det kun fire områder som ikke har vært inkludert: Rogaland, Vest-Agder, Akershus og Oslo.</w:t>
      </w:r>
    </w:p>
    <w:p w14:paraId="3E7E7138" w14:textId="6F531354" w:rsidR="003A4A02" w:rsidRDefault="00CE5328">
      <w:r>
        <w:t xml:space="preserve">Samferdselsdepartementet </w:t>
      </w:r>
      <w:r w:rsidR="004A104D">
        <w:t xml:space="preserve">vil </w:t>
      </w:r>
      <w:r>
        <w:t>lage nye retningslinjer for den utvidede nasjonale TT-ordningen. De ønsker at hele landet skal med, og de vil inkludere flere brukere enn svaksynte, blinde og rullestolbrukere. Norges Blindeforbund</w:t>
      </w:r>
      <w:r w:rsidR="00CB052E">
        <w:t xml:space="preserve"> støtter at ordningen blir landsdekkende, og vi er enige i at andre med tilsvarende behov bør få den samme muligheten, men dette må finansieres med nye midler, ikke ved å ta midler vekk fra de som er i ordningen i dag.</w:t>
      </w:r>
      <w:r w:rsidR="00DA7D09">
        <w:t xml:space="preserve"> Det vil være et enormt tilbakeskritt, og som å få fotlenka på igjen.</w:t>
      </w:r>
      <w:r w:rsidR="00E526B8">
        <w:t xml:space="preserve"> Likevel </w:t>
      </w:r>
      <w:r w:rsidR="00056A6D">
        <w:t xml:space="preserve">vil </w:t>
      </w:r>
      <w:r w:rsidR="00E526B8">
        <w:t xml:space="preserve">departementet </w:t>
      </w:r>
      <w:r w:rsidR="003A413E">
        <w:t xml:space="preserve">inkludere flere brukere </w:t>
      </w:r>
      <w:r w:rsidR="00E526B8">
        <w:t>uten å øke</w:t>
      </w:r>
      <w:r w:rsidR="007D7422">
        <w:t xml:space="preserve"> bevilgningene</w:t>
      </w:r>
      <w:r w:rsidR="00E526B8">
        <w:t>, og vi ber alle gode krefter om å hjelpe oss</w:t>
      </w:r>
      <w:r w:rsidR="00E61A22">
        <w:t xml:space="preserve"> for å unngå en slik rasering av et helt nødvendig selvstendighetsverktøy.</w:t>
      </w:r>
    </w:p>
    <w:p w14:paraId="13541166" w14:textId="77777777" w:rsidR="008D10D5" w:rsidRDefault="008D10D5" w:rsidP="00411CAC">
      <w:pPr>
        <w:pStyle w:val="Overskrift2"/>
      </w:pPr>
    </w:p>
    <w:p w14:paraId="3353993C" w14:textId="6DDEB1B3" w:rsidR="00411CAC" w:rsidRDefault="00EE17C8" w:rsidP="00411CAC">
      <w:pPr>
        <w:pStyle w:val="Overskrift2"/>
      </w:pPr>
      <w:r>
        <w:t>Bakgrunnsinformasjon</w:t>
      </w:r>
    </w:p>
    <w:p w14:paraId="13863BA4" w14:textId="10AB0210" w:rsidR="00E6398F" w:rsidRPr="00FD79F9" w:rsidRDefault="00E6398F">
      <w:pPr>
        <w:rPr>
          <w:b/>
          <w:bCs/>
        </w:rPr>
      </w:pPr>
      <w:r w:rsidRPr="00FD79F9">
        <w:rPr>
          <w:b/>
          <w:bCs/>
        </w:rPr>
        <w:t xml:space="preserve">Konsekvenser av forslaget fra Oslo </w:t>
      </w:r>
      <w:proofErr w:type="spellStart"/>
      <w:r w:rsidRPr="00FD79F9">
        <w:rPr>
          <w:b/>
          <w:bCs/>
        </w:rPr>
        <w:t>Economics</w:t>
      </w:r>
      <w:proofErr w:type="spellEnd"/>
    </w:p>
    <w:p w14:paraId="70D210C7" w14:textId="77777777" w:rsidR="003A7918" w:rsidRDefault="00513D1D" w:rsidP="00E6398F">
      <w:r>
        <w:t xml:space="preserve">Oslo </w:t>
      </w:r>
      <w:proofErr w:type="spellStart"/>
      <w:r>
        <w:t>Economics</w:t>
      </w:r>
      <w:proofErr w:type="spellEnd"/>
      <w:r>
        <w:t xml:space="preserve"> har gjort noen justeringer i sin rapport og i sitt forslag, men mye er likt fra det som ble sendt ut i februar 2024. </w:t>
      </w:r>
      <w:r w:rsidR="00CC4FD2">
        <w:t xml:space="preserve">Det er positivt at hele landet inkluderes i </w:t>
      </w:r>
      <w:r w:rsidR="00702707">
        <w:t xml:space="preserve">forslaget til retningslinjer for </w:t>
      </w:r>
      <w:r w:rsidR="000F7796">
        <w:t xml:space="preserve">den utvidede nasjonale </w:t>
      </w:r>
      <w:r w:rsidR="00CC4FD2">
        <w:t>TT-ordningen</w:t>
      </w:r>
      <w:r w:rsidR="00F10AB0">
        <w:t>, men en slik geografisk utvidelse kan ikke skje innenfor dagens økonomiske rammer</w:t>
      </w:r>
      <w:r w:rsidR="00CC4FD2">
        <w:t>.</w:t>
      </w:r>
      <w:r w:rsidR="000F7796">
        <w:t xml:space="preserve"> Det kan også være positivt å inkludere flere brukere, forutsatt at de har tilsvarende behov og at det er nok midler i ordningen.</w:t>
      </w:r>
      <w:r w:rsidR="006F65E7">
        <w:t xml:space="preserve"> Dette er ikke løst i forslaget fra Oslo </w:t>
      </w:r>
      <w:proofErr w:type="spellStart"/>
      <w:r w:rsidR="006F65E7">
        <w:t>Economics</w:t>
      </w:r>
      <w:proofErr w:type="spellEnd"/>
      <w:r w:rsidR="006F65E7">
        <w:t>.</w:t>
      </w:r>
      <w:r w:rsidR="00733456">
        <w:t xml:space="preserve"> Følgende setning i de foreslåtte retningslinjene</w:t>
      </w:r>
      <w:r w:rsidR="001D0FB6">
        <w:t xml:space="preserve"> illustrerer at de går vekk fra målet om å nå brukere med særlige behov: </w:t>
      </w:r>
      <w:r w:rsidR="007350F3">
        <w:t>«</w:t>
      </w:r>
      <w:r w:rsidR="001D0FB6" w:rsidRPr="001D0FB6">
        <w:t>Utgangspunktet er at alle TT-brukere kan inkluderes i den utvidede ordningen</w:t>
      </w:r>
      <w:r w:rsidR="007350F3">
        <w:t>».</w:t>
      </w:r>
      <w:r w:rsidR="000F7796">
        <w:t xml:space="preserve"> </w:t>
      </w:r>
    </w:p>
    <w:p w14:paraId="77035280" w14:textId="596773CB" w:rsidR="00FD79F9" w:rsidRDefault="009C002B" w:rsidP="00E6398F">
      <w:r>
        <w:t>Vi mener at f</w:t>
      </w:r>
      <w:r w:rsidR="00BF05E3">
        <w:t>oreslåtte endringe</w:t>
      </w:r>
      <w:r w:rsidR="00FD79F9">
        <w:t>r</w:t>
      </w:r>
      <w:r w:rsidR="00BF05E3">
        <w:t xml:space="preserve"> i fordelingsnøkkel og retningslinjer for den utvidede nasjonale TT-ordningen</w:t>
      </w:r>
      <w:r w:rsidR="00FD79F9">
        <w:t xml:space="preserve"> vil </w:t>
      </w:r>
      <w:r w:rsidR="00A571D6">
        <w:t>føre til:</w:t>
      </w:r>
    </w:p>
    <w:p w14:paraId="0ED4E8C2" w14:textId="79853AE4" w:rsidR="00A571D6" w:rsidRDefault="00A571D6" w:rsidP="00A571D6">
      <w:pPr>
        <w:pStyle w:val="Listeavsnitt"/>
        <w:numPr>
          <w:ilvl w:val="0"/>
          <w:numId w:val="2"/>
        </w:numPr>
      </w:pPr>
      <w:r>
        <w:t>At eksisterende brukere av ordningen får et vesentlig dårligere tilbud.</w:t>
      </w:r>
    </w:p>
    <w:p w14:paraId="3804D2F3" w14:textId="5D58470C" w:rsidR="00A571D6" w:rsidRDefault="00A571D6" w:rsidP="00A571D6">
      <w:pPr>
        <w:pStyle w:val="Listeavsnitt"/>
        <w:numPr>
          <w:ilvl w:val="0"/>
          <w:numId w:val="2"/>
        </w:numPr>
      </w:pPr>
      <w:r>
        <w:t xml:space="preserve">At nye brukere får en dårligere ordning enn </w:t>
      </w:r>
      <w:r w:rsidR="00F83212">
        <w:t>den de har ønsket og forventet.</w:t>
      </w:r>
    </w:p>
    <w:p w14:paraId="74F3BDF7" w14:textId="2B95F292" w:rsidR="001B77B1" w:rsidRDefault="001B77B1" w:rsidP="00A571D6">
      <w:pPr>
        <w:pStyle w:val="Listeavsnitt"/>
        <w:numPr>
          <w:ilvl w:val="0"/>
          <w:numId w:val="2"/>
        </w:numPr>
      </w:pPr>
      <w:r>
        <w:t xml:space="preserve">At mer midler vil </w:t>
      </w:r>
      <w:r w:rsidR="00642520">
        <w:t>gå vekk til administrasjon.</w:t>
      </w:r>
    </w:p>
    <w:p w14:paraId="623E2A7E" w14:textId="313B4EF8" w:rsidR="00B067DC" w:rsidRDefault="00B067DC" w:rsidP="00E6398F"/>
    <w:p w14:paraId="07AEE897" w14:textId="3D8BD2BD" w:rsidR="006C61A2" w:rsidRDefault="006C61A2" w:rsidP="00E6398F">
      <w:r>
        <w:t>Hva krever vi?</w:t>
      </w:r>
    </w:p>
    <w:p w14:paraId="7A8FB29D" w14:textId="6CC9F6E2" w:rsidR="005766FC" w:rsidRDefault="005766FC" w:rsidP="00E6398F">
      <w:r>
        <w:t>Norges Blindeforbund</w:t>
      </w:r>
      <w:r w:rsidR="003D55F9">
        <w:t xml:space="preserve"> mener</w:t>
      </w:r>
      <w:r w:rsidR="001C27FA">
        <w:t xml:space="preserve"> det er nødvendig</w:t>
      </w:r>
      <w:r>
        <w:t>:</w:t>
      </w:r>
    </w:p>
    <w:p w14:paraId="6FC41AC7" w14:textId="35BE78DD" w:rsidR="00612854" w:rsidRDefault="00B42F3F" w:rsidP="004956F5">
      <w:pPr>
        <w:pStyle w:val="Listeavsnitt"/>
        <w:numPr>
          <w:ilvl w:val="0"/>
          <w:numId w:val="2"/>
        </w:numPr>
      </w:pPr>
      <w:r>
        <w:t xml:space="preserve">Å sikre </w:t>
      </w:r>
      <w:r w:rsidR="00626E81">
        <w:t xml:space="preserve">målgruppen samme </w:t>
      </w:r>
      <w:r w:rsidR="008A3D50">
        <w:t>bevegelsesfrihet som andre, det vil si om lag 220 fritidsreiser årlig</w:t>
      </w:r>
      <w:r w:rsidR="005932A8">
        <w:t xml:space="preserve"> uavhengig av hvor i landet du bor</w:t>
      </w:r>
      <w:r w:rsidR="008A3D50">
        <w:t>.</w:t>
      </w:r>
    </w:p>
    <w:p w14:paraId="46F5F387" w14:textId="4E8EE524" w:rsidR="004956F5" w:rsidRDefault="002C0763" w:rsidP="004956F5">
      <w:pPr>
        <w:pStyle w:val="Listeavsnitt"/>
        <w:numPr>
          <w:ilvl w:val="0"/>
          <w:numId w:val="2"/>
        </w:numPr>
      </w:pPr>
      <w:r>
        <w:t>Å</w:t>
      </w:r>
      <w:r w:rsidR="001F458E">
        <w:t xml:space="preserve"> bevilge m</w:t>
      </w:r>
      <w:r w:rsidR="004956F5">
        <w:t xml:space="preserve">er midler for å ivareta </w:t>
      </w:r>
      <w:r w:rsidR="006C61A2">
        <w:t xml:space="preserve">nye områder </w:t>
      </w:r>
      <w:r w:rsidR="00316E58">
        <w:t>og nye brukere.</w:t>
      </w:r>
      <w:r w:rsidR="002655C1">
        <w:t xml:space="preserve"> </w:t>
      </w:r>
    </w:p>
    <w:p w14:paraId="00896538" w14:textId="0ADAFB71" w:rsidR="00B067DC" w:rsidRDefault="002F43A7" w:rsidP="00E6398F">
      <w:pPr>
        <w:pStyle w:val="Listeavsnitt"/>
        <w:numPr>
          <w:ilvl w:val="0"/>
          <w:numId w:val="2"/>
        </w:numPr>
      </w:pPr>
      <w:r>
        <w:t>Å innføre o</w:t>
      </w:r>
      <w:r w:rsidR="008D1FDE">
        <w:t xml:space="preserve">bjektive </w:t>
      </w:r>
      <w:r>
        <w:t xml:space="preserve">og landsdekkende </w:t>
      </w:r>
      <w:r w:rsidR="004956F5">
        <w:t xml:space="preserve">kriterier </w:t>
      </w:r>
      <w:r w:rsidR="008D1FDE">
        <w:t xml:space="preserve">som </w:t>
      </w:r>
      <w:r w:rsidR="00316E58">
        <w:t>fanger opp</w:t>
      </w:r>
      <w:r w:rsidR="00E23189">
        <w:t xml:space="preserve"> </w:t>
      </w:r>
      <w:r w:rsidR="00C758D3">
        <w:t>brukere med særlige behov,</w:t>
      </w:r>
      <w:r w:rsidR="006F71B3">
        <w:t xml:space="preserve"> inkludert de som omfattes av dagens retningslinjer</w:t>
      </w:r>
      <w:r w:rsidR="00B77869">
        <w:t>.</w:t>
      </w:r>
    </w:p>
    <w:p w14:paraId="2C8D2343" w14:textId="01D3A167" w:rsidR="00114D30" w:rsidRDefault="00B216AB" w:rsidP="00E6398F">
      <w:r w:rsidRPr="00B216AB">
        <w:t>•</w:t>
      </w:r>
      <w:r w:rsidRPr="00B216AB">
        <w:tab/>
      </w:r>
      <w:r w:rsidR="002F43A7">
        <w:t>Å sikre e</w:t>
      </w:r>
      <w:r w:rsidRPr="00B216AB">
        <w:t>n forsvarlig og forutsigbar saksbehandling.</w:t>
      </w:r>
    </w:p>
    <w:p w14:paraId="770E17D2" w14:textId="77777777" w:rsidR="004216EA" w:rsidRDefault="004216EA" w:rsidP="00E6398F">
      <w:pPr>
        <w:rPr>
          <w:b/>
          <w:bCs/>
        </w:rPr>
      </w:pPr>
    </w:p>
    <w:p w14:paraId="6F6EC474" w14:textId="3997864E" w:rsidR="00757C27" w:rsidRPr="00757C27" w:rsidRDefault="00757C27" w:rsidP="00E6398F">
      <w:pPr>
        <w:rPr>
          <w:b/>
          <w:bCs/>
        </w:rPr>
      </w:pPr>
      <w:r w:rsidRPr="00757C27">
        <w:rPr>
          <w:b/>
          <w:bCs/>
        </w:rPr>
        <w:t>Geografisk likebehandling</w:t>
      </w:r>
    </w:p>
    <w:p w14:paraId="7561C20F" w14:textId="7ECAE39D" w:rsidR="00757C27" w:rsidRDefault="00CD2413" w:rsidP="00E6398F">
      <w:pPr>
        <w:rPr>
          <w:b/>
          <w:bCs/>
        </w:rPr>
      </w:pPr>
      <w:r>
        <w:rPr>
          <w:b/>
          <w:bCs/>
        </w:rPr>
        <w:t xml:space="preserve">Departementet </w:t>
      </w:r>
      <w:r w:rsidR="00564677">
        <w:rPr>
          <w:b/>
          <w:bCs/>
        </w:rPr>
        <w:t>har lagt til grunn at ordningen skal bli landsdekkende</w:t>
      </w:r>
      <w:r w:rsidR="00970A01">
        <w:rPr>
          <w:b/>
          <w:bCs/>
        </w:rPr>
        <w:t>, og de peker på viktigheten av likebehandling.</w:t>
      </w:r>
      <w:r w:rsidR="00E11CEE">
        <w:rPr>
          <w:b/>
          <w:bCs/>
        </w:rPr>
        <w:t xml:space="preserve"> De foreslåtte retningslinjene inneholder imidlertid ingen felles nasjonale kriterier, og det er helt opp til fylkeskommunene å definere</w:t>
      </w:r>
      <w:r w:rsidR="00187CEA">
        <w:rPr>
          <w:b/>
          <w:bCs/>
        </w:rPr>
        <w:t xml:space="preserve"> kriterier for tildeling. Dette vil ikke sikre en felles ordning i hele landet, og det vil bli store forskjeller på ordningen avhengig av hvor i landet du bor.</w:t>
      </w:r>
    </w:p>
    <w:p w14:paraId="33839E73" w14:textId="08448501" w:rsidR="00E34A8B" w:rsidRDefault="00465385" w:rsidP="00E6398F">
      <w:pPr>
        <w:rPr>
          <w:b/>
          <w:bCs/>
        </w:rPr>
      </w:pPr>
      <w:r>
        <w:rPr>
          <w:b/>
          <w:bCs/>
        </w:rPr>
        <w:t>Rammen og d</w:t>
      </w:r>
      <w:r w:rsidR="00DE19EA">
        <w:rPr>
          <w:b/>
          <w:bCs/>
        </w:rPr>
        <w:t xml:space="preserve">en foreslåtte fordelingsnøkkelen vil gi en stor nedgang i tildeling til flere fylker, og dermed også til mange brukere. </w:t>
      </w:r>
      <w:r w:rsidR="0016141A">
        <w:rPr>
          <w:b/>
          <w:bCs/>
        </w:rPr>
        <w:t>D</w:t>
      </w:r>
      <w:r w:rsidR="00BA4F72">
        <w:rPr>
          <w:b/>
          <w:bCs/>
        </w:rPr>
        <w:t>et er viktig både å øke den totale rammen og å ta hensyn til tidligere faktisk forbruk, slik at ingen får en dårligere ordning.</w:t>
      </w:r>
    </w:p>
    <w:p w14:paraId="27E14234" w14:textId="77777777" w:rsidR="00757C27" w:rsidRDefault="00757C27" w:rsidP="00E6398F">
      <w:pPr>
        <w:rPr>
          <w:b/>
          <w:bCs/>
        </w:rPr>
      </w:pPr>
    </w:p>
    <w:p w14:paraId="31EB157D" w14:textId="419E757D" w:rsidR="003B3054" w:rsidRPr="007C122B" w:rsidRDefault="007C122B" w:rsidP="00E6398F">
      <w:pPr>
        <w:rPr>
          <w:b/>
          <w:bCs/>
        </w:rPr>
      </w:pPr>
      <w:r w:rsidRPr="007C122B">
        <w:rPr>
          <w:b/>
          <w:bCs/>
        </w:rPr>
        <w:t>Hvorfor svaksynte, blinde og rullestolbrukere?</w:t>
      </w:r>
    </w:p>
    <w:p w14:paraId="49E8EE38" w14:textId="105F3331" w:rsidR="001E4220" w:rsidRDefault="009158FA" w:rsidP="00E6398F">
      <w:r>
        <w:t xml:space="preserve">Undersøkelser viste at det særlig var svaksynte, blinde og rullestolbrukere som ikke fikk dekket sitt transportbehov </w:t>
      </w:r>
      <w:r w:rsidR="004645F5">
        <w:t>gjennom den fylkeskommunale TT-ordningen. Dette var bakgrunnen for at den utvidede nasjonale ordningen kom på plass</w:t>
      </w:r>
      <w:r w:rsidR="009D62CF">
        <w:t xml:space="preserve"> som et prøveprosjekt fra 2012</w:t>
      </w:r>
      <w:r w:rsidR="001E4220">
        <w:t>.</w:t>
      </w:r>
      <w:r w:rsidR="004C1616">
        <w:t xml:space="preserve"> For andre er den fylkeskommunale ordningen i stor grad tilstrekkelig</w:t>
      </w:r>
      <w:r w:rsidR="00ED73A6">
        <w:t>.</w:t>
      </w:r>
    </w:p>
    <w:p w14:paraId="049926DE" w14:textId="234B28D2" w:rsidR="001E4220" w:rsidRDefault="001E4220" w:rsidP="00E6398F">
      <w:r w:rsidRPr="001E4220">
        <w:t xml:space="preserve">Det er ikke pekt på andre grupper som har tilsvarende </w:t>
      </w:r>
      <w:r w:rsidR="00530BD5">
        <w:t xml:space="preserve">særskilte </w:t>
      </w:r>
      <w:r w:rsidRPr="001E4220">
        <w:t>behov</w:t>
      </w:r>
      <w:r w:rsidR="00530BD5">
        <w:t xml:space="preserve"> for en utvidet transporttjeneste</w:t>
      </w:r>
      <w:r w:rsidRPr="001E4220">
        <w:t xml:space="preserve">, men det </w:t>
      </w:r>
      <w:r w:rsidR="00325549">
        <w:t xml:space="preserve">er </w:t>
      </w:r>
      <w:r w:rsidRPr="001E4220">
        <w:t>enkeltpersoner innenfor andre grupper som har et slikt behov. Det må finnes løsninger for å inkludere disse på en målrettet måte, uten å fjerne det som er oppnådd for svaksynte</w:t>
      </w:r>
      <w:r w:rsidR="00A21AEA">
        <w:t xml:space="preserve"> og</w:t>
      </w:r>
      <w:r w:rsidRPr="001E4220">
        <w:t xml:space="preserve"> blinde.</w:t>
      </w:r>
    </w:p>
    <w:p w14:paraId="768983E2" w14:textId="77777777" w:rsidR="006D6429" w:rsidRDefault="006D6429" w:rsidP="00E6398F"/>
    <w:p w14:paraId="5AB1E53C" w14:textId="0D92B4D0" w:rsidR="00376262" w:rsidRPr="00376262" w:rsidRDefault="00376262" w:rsidP="00E6398F">
      <w:pPr>
        <w:rPr>
          <w:b/>
          <w:bCs/>
        </w:rPr>
      </w:pPr>
      <w:r w:rsidRPr="00376262">
        <w:rPr>
          <w:b/>
          <w:bCs/>
        </w:rPr>
        <w:t>Hvorfor er ikke den utvidede TT-ordningen diskriminerende?</w:t>
      </w:r>
    </w:p>
    <w:p w14:paraId="54FA57CD" w14:textId="77777777" w:rsidR="000321AF" w:rsidRDefault="00376262" w:rsidP="00E6398F">
      <w:r>
        <w:t xml:space="preserve">Saklig forskjellsbehandling er ikke diskriminering. </w:t>
      </w:r>
      <w:r w:rsidR="00631398">
        <w:t xml:space="preserve">Forflytningshemningene som følger av </w:t>
      </w:r>
      <w:r w:rsidR="00A3765C">
        <w:t>det å leve med en synsnedsettelse eller betydelig redusert</w:t>
      </w:r>
      <w:r w:rsidR="001E5A55">
        <w:t xml:space="preserve"> bevegelighet, </w:t>
      </w:r>
      <w:r w:rsidR="009E6DDA">
        <w:t>er</w:t>
      </w:r>
      <w:r w:rsidR="00CE3BC0">
        <w:t xml:space="preserve"> en saklig begrunnelse for ordningen, og ordningen er dermed ikke diskriminerende</w:t>
      </w:r>
      <w:r w:rsidR="00DB51D4">
        <w:t xml:space="preserve"> mellom brukergrupper</w:t>
      </w:r>
      <w:r w:rsidR="00CE3BC0">
        <w:t>.</w:t>
      </w:r>
      <w:r w:rsidR="00B406C3">
        <w:t xml:space="preserve"> Ordningen har imidlertid blitt praktisert diskriminerende hvis fylkeskommuner ikke har gjort individuelle vurderinger av om andre har tilsvarende behov.</w:t>
      </w:r>
    </w:p>
    <w:p w14:paraId="44A1C5EC" w14:textId="7F0B5081" w:rsidR="000321AF" w:rsidRDefault="000321AF" w:rsidP="00E6398F">
      <w:r>
        <w:t xml:space="preserve">Fylkeskommuner og departementet har omtalt eksisterende retningslinjer som diskriminerende, men denne språkbruken er ikke fulgt opp av Oslo </w:t>
      </w:r>
      <w:proofErr w:type="spellStart"/>
      <w:r>
        <w:t>Economics</w:t>
      </w:r>
      <w:proofErr w:type="spellEnd"/>
      <w:r>
        <w:t xml:space="preserve">. </w:t>
      </w:r>
      <w:r w:rsidR="007F4AC2">
        <w:t>V</w:t>
      </w:r>
      <w:r w:rsidR="00816AA2">
        <w:t xml:space="preserve">i må </w:t>
      </w:r>
      <w:r w:rsidR="007F4AC2">
        <w:t xml:space="preserve">likevel </w:t>
      </w:r>
      <w:r w:rsidR="00816AA2">
        <w:t>være forberedt på at argumenter om diskriminering fortsatt dukker opp</w:t>
      </w:r>
      <w:r w:rsidR="00B60A89">
        <w:t>, som i regjeringens tekst om statsbudsjettet</w:t>
      </w:r>
      <w:r w:rsidR="00816AA2">
        <w:t>.</w:t>
      </w:r>
      <w:r w:rsidR="00E75044">
        <w:t xml:space="preserve"> Det kan oppfattes urettferdig at ordningen ikke dekker hele landet og at ikke flere grupper er med i ordningen, men </w:t>
      </w:r>
      <w:r w:rsidR="00D11224">
        <w:t xml:space="preserve">noe </w:t>
      </w:r>
      <w:r w:rsidR="00CA1F6A">
        <w:t xml:space="preserve">kan </w:t>
      </w:r>
      <w:r w:rsidR="00D11224">
        <w:t xml:space="preserve">oppfattes urettferdig </w:t>
      </w:r>
      <w:r w:rsidR="00CA1F6A">
        <w:t xml:space="preserve">uten </w:t>
      </w:r>
      <w:r w:rsidR="00D11224">
        <w:t xml:space="preserve">at </w:t>
      </w:r>
      <w:r w:rsidR="00CA1F6A">
        <w:t xml:space="preserve">det </w:t>
      </w:r>
      <w:r w:rsidR="00D11224">
        <w:t>faktisk er diskriminering.</w:t>
      </w:r>
    </w:p>
    <w:p w14:paraId="091A2B0E" w14:textId="77777777" w:rsidR="007F7345" w:rsidRDefault="007F7345" w:rsidP="00E6398F"/>
    <w:p w14:paraId="1777545E" w14:textId="03E11DA1" w:rsidR="0075254F" w:rsidRPr="0075254F" w:rsidRDefault="0075254F" w:rsidP="00E6398F">
      <w:pPr>
        <w:rPr>
          <w:b/>
          <w:bCs/>
        </w:rPr>
      </w:pPr>
      <w:r w:rsidRPr="0075254F">
        <w:rPr>
          <w:b/>
          <w:bCs/>
        </w:rPr>
        <w:t>To ulike ordninger</w:t>
      </w:r>
    </w:p>
    <w:p w14:paraId="50C53920" w14:textId="36A34823" w:rsidR="0075254F" w:rsidRDefault="00BF3A09" w:rsidP="00E6398F">
      <w:r>
        <w:t xml:space="preserve">Vi ser at Oslo </w:t>
      </w:r>
      <w:proofErr w:type="spellStart"/>
      <w:r>
        <w:t>Economics</w:t>
      </w:r>
      <w:proofErr w:type="spellEnd"/>
      <w:r>
        <w:t xml:space="preserve"> blander sammen den fylkeskommunale TT-ordningen og den utvidede, nasjonale ordningen som skulle være for brukere med særlige behov</w:t>
      </w:r>
      <w:r w:rsidR="00114EDA">
        <w:t xml:space="preserve">. Dette taler for at det gjøres et tydeligere skille mellom disse ordningene. </w:t>
      </w:r>
      <w:r w:rsidR="003B5AF9">
        <w:t xml:space="preserve">Den fylkeskommunale TT-ordningen dekker et grunnleggende </w:t>
      </w:r>
      <w:r w:rsidR="006607BF">
        <w:t>transport</w:t>
      </w:r>
      <w:r w:rsidR="003B5AF9">
        <w:t xml:space="preserve">behov </w:t>
      </w:r>
      <w:r w:rsidR="00A55D5B">
        <w:t xml:space="preserve">på fritiden </w:t>
      </w:r>
      <w:r w:rsidR="003B5AF9">
        <w:t>for mange personer med ulike</w:t>
      </w:r>
      <w:r w:rsidR="00A55D5B">
        <w:t xml:space="preserve"> utgangspunkt</w:t>
      </w:r>
      <w:r w:rsidR="006607BF">
        <w:t xml:space="preserve">. En statlig </w:t>
      </w:r>
      <w:r w:rsidR="00A55D5B">
        <w:t xml:space="preserve">ordning for </w:t>
      </w:r>
      <w:r w:rsidR="004863B8">
        <w:t>brukere med særlige behov, der forflyt</w:t>
      </w:r>
      <w:r w:rsidR="00DC64D2">
        <w:t>n</w:t>
      </w:r>
      <w:r w:rsidR="004863B8">
        <w:t>ings</w:t>
      </w:r>
      <w:r w:rsidR="00DC64D2">
        <w:t>vansker som følge av syns- eller bevegelseshemming ligger til grunn, bør rettighetsfestet og sikre disse samme bevegelsesfrihet som andre.</w:t>
      </w:r>
    </w:p>
    <w:p w14:paraId="225BE2EA" w14:textId="77777777" w:rsidR="0075254F" w:rsidRDefault="0075254F" w:rsidP="00E6398F"/>
    <w:p w14:paraId="13F79067" w14:textId="3269DEA7" w:rsidR="00FA6CCD" w:rsidRPr="00FA6CCD" w:rsidRDefault="00FA6CCD" w:rsidP="00E6398F">
      <w:pPr>
        <w:rPr>
          <w:b/>
          <w:bCs/>
        </w:rPr>
      </w:pPr>
      <w:r w:rsidRPr="00FA6CCD">
        <w:rPr>
          <w:b/>
          <w:bCs/>
        </w:rPr>
        <w:t xml:space="preserve">Hvorfor gir forslaget fra Oslo </w:t>
      </w:r>
      <w:proofErr w:type="spellStart"/>
      <w:r w:rsidRPr="00FA6CCD">
        <w:rPr>
          <w:b/>
          <w:bCs/>
        </w:rPr>
        <w:t>Economics</w:t>
      </w:r>
      <w:proofErr w:type="spellEnd"/>
      <w:r w:rsidRPr="00FA6CCD">
        <w:rPr>
          <w:b/>
          <w:bCs/>
        </w:rPr>
        <w:t xml:space="preserve"> dyrere administrasjon?</w:t>
      </w:r>
    </w:p>
    <w:p w14:paraId="040BBB72" w14:textId="55024FAD" w:rsidR="00303C66" w:rsidRDefault="00EA0518" w:rsidP="00E6398F">
      <w:r>
        <w:t xml:space="preserve">Forslaget </w:t>
      </w:r>
      <w:r w:rsidR="005A4B13">
        <w:t xml:space="preserve">krever individuell vurdering av alle søknader på grunnlag av legeerklæring, egenerklæring eller </w:t>
      </w:r>
      <w:r w:rsidR="005A609E">
        <w:t>annen</w:t>
      </w:r>
      <w:r w:rsidR="009C0B10">
        <w:t xml:space="preserve"> dokumentasjon</w:t>
      </w:r>
      <w:r w:rsidR="005A609E">
        <w:t xml:space="preserve">. Å skaffe dokumentasjon vil </w:t>
      </w:r>
      <w:r w:rsidR="00272AF1">
        <w:t>ta tid for bruker</w:t>
      </w:r>
      <w:r w:rsidR="00BB41D3">
        <w:t>ne</w:t>
      </w:r>
      <w:r w:rsidR="00272AF1">
        <w:t>, for fastlege, for øyelege og så videre, og å gjennomgå dokumentasjonen</w:t>
      </w:r>
      <w:r w:rsidR="00BB41D3">
        <w:t xml:space="preserve"> vil kreve mye saksbehandling</w:t>
      </w:r>
      <w:r w:rsidR="00272AF1">
        <w:t>.</w:t>
      </w:r>
    </w:p>
    <w:p w14:paraId="0633A578" w14:textId="03E79B11" w:rsidR="004A6E98" w:rsidRDefault="004A6E98" w:rsidP="00E6398F">
      <w:r>
        <w:lastRenderedPageBreak/>
        <w:t xml:space="preserve">Oslo </w:t>
      </w:r>
      <w:proofErr w:type="spellStart"/>
      <w:r>
        <w:t>Economics</w:t>
      </w:r>
      <w:proofErr w:type="spellEnd"/>
      <w:r>
        <w:t xml:space="preserve"> foreslår å differensiere </w:t>
      </w:r>
      <w:r w:rsidR="00972694">
        <w:t xml:space="preserve">på tildeling mellom 0 og 200 enkeltreiser, og </w:t>
      </w:r>
      <w:r w:rsidR="00E77938">
        <w:t xml:space="preserve">mye </w:t>
      </w:r>
      <w:r w:rsidR="00972694">
        <w:t xml:space="preserve">dokumentasjon </w:t>
      </w:r>
      <w:r w:rsidR="00E77938">
        <w:t xml:space="preserve">er nødvendig hvis </w:t>
      </w:r>
      <w:r w:rsidR="005B30BF">
        <w:t xml:space="preserve">fylkeskommunen skal </w:t>
      </w:r>
      <w:r w:rsidR="00972694">
        <w:t>vurdere hvilket nivå den enkelte har behov for.</w:t>
      </w:r>
      <w:r w:rsidR="00BE79D7">
        <w:t xml:space="preserve"> Tildelingen mellom 0 og 200 turer skal være </w:t>
      </w:r>
      <w:r w:rsidR="00BE79D7" w:rsidRPr="00BE79D7">
        <w:t>basert på objektive, ikke-diskriminerende og forutsigbare kriterier</w:t>
      </w:r>
      <w:r w:rsidR="00BE79D7">
        <w:t xml:space="preserve">, men </w:t>
      </w:r>
      <w:r w:rsidR="00AA007B">
        <w:t>ingen slike kriterier er gjort felles for hele landet</w:t>
      </w:r>
      <w:r w:rsidR="00BE79D7" w:rsidRPr="00BE79D7">
        <w:t>.</w:t>
      </w:r>
      <w:r w:rsidR="00AA007B">
        <w:t xml:space="preserve"> Det vil være krevende både å finne frem til slike treffsikre kriterier for den enkelte fylkeskommune, og </w:t>
      </w:r>
      <w:r w:rsidR="00E942C0">
        <w:t>å følge de opp.</w:t>
      </w:r>
    </w:p>
    <w:p w14:paraId="69BD838B" w14:textId="77777777" w:rsidR="001D2B20" w:rsidRDefault="00A8716F" w:rsidP="00E6398F">
      <w:r>
        <w:t xml:space="preserve">Det vil være ekstra kostbart å bygge opp kompetanse og kapasitet til slik saksbehandling i fylkeskommunene eller kommunene, sammenlignet med å </w:t>
      </w:r>
      <w:r w:rsidR="00BE2BD3">
        <w:t xml:space="preserve">legge dette til NAV som </w:t>
      </w:r>
      <w:r w:rsidR="007220F0">
        <w:t xml:space="preserve">allerede </w:t>
      </w:r>
      <w:r w:rsidR="00BE2BD3">
        <w:t xml:space="preserve">har </w:t>
      </w:r>
      <w:r w:rsidR="007220F0" w:rsidRPr="007220F0">
        <w:t>saksbehandling for arbeids- og utdanningsreiser, transport i grunnstønad og søknader om tilrettelagt bil.</w:t>
      </w:r>
    </w:p>
    <w:p w14:paraId="7C08751F" w14:textId="77777777" w:rsidR="008E1C78" w:rsidRDefault="008E1C78" w:rsidP="007220F0"/>
    <w:p w14:paraId="7BFEC9E8" w14:textId="267F62F7" w:rsidR="008E1C78" w:rsidRPr="00303500" w:rsidRDefault="00303500" w:rsidP="007220F0">
      <w:pPr>
        <w:rPr>
          <w:b/>
          <w:bCs/>
        </w:rPr>
      </w:pPr>
      <w:r w:rsidRPr="00303500">
        <w:rPr>
          <w:b/>
          <w:bCs/>
        </w:rPr>
        <w:t>Nødvendig for selvstendighet</w:t>
      </w:r>
      <w:r w:rsidR="00F81CDD">
        <w:rPr>
          <w:b/>
          <w:bCs/>
        </w:rPr>
        <w:t xml:space="preserve"> og frihet</w:t>
      </w:r>
    </w:p>
    <w:p w14:paraId="01B88916" w14:textId="7BF352EA" w:rsidR="00303500" w:rsidRDefault="00303500" w:rsidP="007220F0">
      <w:r>
        <w:t xml:space="preserve">En utvidet transportordning er nødvendig for synshemmedes selvstendighet og frihet. </w:t>
      </w:r>
      <w:r w:rsidR="00430F45">
        <w:t>Å redusere omfanget av ordningen eller å gjøre de</w:t>
      </w:r>
      <w:r w:rsidR="00C017A5">
        <w:t>n</w:t>
      </w:r>
      <w:r w:rsidR="00430F45">
        <w:t xml:space="preserve"> mer byråkratisk, vil </w:t>
      </w:r>
      <w:r w:rsidR="00FC6357">
        <w:t xml:space="preserve">være dramatisk </w:t>
      </w:r>
      <w:r w:rsidR="00C017A5">
        <w:t>for den enkelte</w:t>
      </w:r>
      <w:r w:rsidR="00FC6357">
        <w:t>.</w:t>
      </w:r>
    </w:p>
    <w:p w14:paraId="726BB356" w14:textId="23183948" w:rsidR="00EC6A3B" w:rsidRDefault="004773C8" w:rsidP="007220F0">
      <w:r>
        <w:t xml:space="preserve">Oslo </w:t>
      </w:r>
      <w:proofErr w:type="spellStart"/>
      <w:r>
        <w:t>Economics</w:t>
      </w:r>
      <w:proofErr w:type="spellEnd"/>
      <w:r>
        <w:t xml:space="preserve"> foreslår at f</w:t>
      </w:r>
      <w:r w:rsidR="00EC6A3B" w:rsidRPr="00EC6A3B">
        <w:t xml:space="preserve">ylkeskommunene </w:t>
      </w:r>
      <w:r>
        <w:t xml:space="preserve">selv får </w:t>
      </w:r>
      <w:r w:rsidR="00EC6A3B" w:rsidRPr="00EC6A3B">
        <w:t>frihet til å velge hvilke kriterier som legges til grunn for tildelingen.</w:t>
      </w:r>
      <w:r w:rsidR="00B402F0">
        <w:t xml:space="preserve"> Dette vil gi store forskjeller mellom fylkene, og stor usikkerhet for den enkelte.</w:t>
      </w:r>
      <w:r w:rsidR="005372E6">
        <w:t xml:space="preserve"> Det er stor risiko for at fylkeskommunene vil fordele midlene likt til alle brukere,</w:t>
      </w:r>
      <w:r w:rsidR="002F1B91">
        <w:t xml:space="preserve"> noe som bringer oss tilbake til situasjonen før 2012.</w:t>
      </w:r>
      <w:r w:rsidR="002B696D">
        <w:t xml:space="preserve"> Det selvstendighetsverktøyet den utvidede TT-ordningen har vært for mange svaksynte og blinde, vil dermed bli tatt fra oss.</w:t>
      </w:r>
    </w:p>
    <w:p w14:paraId="35FC484A" w14:textId="77777777" w:rsidR="00B24D25" w:rsidRDefault="00B24D25" w:rsidP="007220F0"/>
    <w:p w14:paraId="22C8A5D0" w14:textId="230DB94B" w:rsidR="00460A59" w:rsidRDefault="00460A59" w:rsidP="00E6398F">
      <w:r>
        <w:t xml:space="preserve">Oslo, den </w:t>
      </w:r>
      <w:r w:rsidR="000E33DA">
        <w:t>8</w:t>
      </w:r>
      <w:r>
        <w:t xml:space="preserve">. </w:t>
      </w:r>
      <w:r w:rsidR="000E33DA">
        <w:t xml:space="preserve">oktober </w:t>
      </w:r>
      <w:r>
        <w:t>2024</w:t>
      </w:r>
    </w:p>
    <w:sectPr w:rsidR="00460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83C49"/>
    <w:multiLevelType w:val="hybridMultilevel"/>
    <w:tmpl w:val="0E066D86"/>
    <w:lvl w:ilvl="0" w:tplc="78607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06735"/>
    <w:multiLevelType w:val="hybridMultilevel"/>
    <w:tmpl w:val="C27C7F86"/>
    <w:lvl w:ilvl="0" w:tplc="112881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D0B71"/>
    <w:multiLevelType w:val="hybridMultilevel"/>
    <w:tmpl w:val="473051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903275">
    <w:abstractNumId w:val="2"/>
  </w:num>
  <w:num w:numId="2" w16cid:durableId="631522546">
    <w:abstractNumId w:val="0"/>
  </w:num>
  <w:num w:numId="3" w16cid:durableId="1499299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E3"/>
    <w:rsid w:val="00001C0E"/>
    <w:rsid w:val="00012F95"/>
    <w:rsid w:val="000321AF"/>
    <w:rsid w:val="00041224"/>
    <w:rsid w:val="00054923"/>
    <w:rsid w:val="00056A6D"/>
    <w:rsid w:val="00063658"/>
    <w:rsid w:val="000670DF"/>
    <w:rsid w:val="0007043D"/>
    <w:rsid w:val="00086129"/>
    <w:rsid w:val="000924EA"/>
    <w:rsid w:val="000D4326"/>
    <w:rsid w:val="000E33DA"/>
    <w:rsid w:val="000E62B1"/>
    <w:rsid w:val="000F258E"/>
    <w:rsid w:val="000F7796"/>
    <w:rsid w:val="00102BD8"/>
    <w:rsid w:val="00114D30"/>
    <w:rsid w:val="00114EDA"/>
    <w:rsid w:val="00116F61"/>
    <w:rsid w:val="00130A7E"/>
    <w:rsid w:val="001442A8"/>
    <w:rsid w:val="001538AD"/>
    <w:rsid w:val="0016141A"/>
    <w:rsid w:val="00187CEA"/>
    <w:rsid w:val="001B3579"/>
    <w:rsid w:val="001B6BD2"/>
    <w:rsid w:val="001B77B1"/>
    <w:rsid w:val="001C27FA"/>
    <w:rsid w:val="001D0FB6"/>
    <w:rsid w:val="001D2B20"/>
    <w:rsid w:val="001D37B9"/>
    <w:rsid w:val="001E4220"/>
    <w:rsid w:val="001E5A55"/>
    <w:rsid w:val="001F171E"/>
    <w:rsid w:val="001F458E"/>
    <w:rsid w:val="001F55F4"/>
    <w:rsid w:val="00204AE9"/>
    <w:rsid w:val="002258D2"/>
    <w:rsid w:val="00232C26"/>
    <w:rsid w:val="00261465"/>
    <w:rsid w:val="00265573"/>
    <w:rsid w:val="002655C1"/>
    <w:rsid w:val="00272AF1"/>
    <w:rsid w:val="00294A02"/>
    <w:rsid w:val="002A6B47"/>
    <w:rsid w:val="002B0D62"/>
    <w:rsid w:val="002B1300"/>
    <w:rsid w:val="002B2231"/>
    <w:rsid w:val="002B696D"/>
    <w:rsid w:val="002B7A36"/>
    <w:rsid w:val="002C0763"/>
    <w:rsid w:val="002C6204"/>
    <w:rsid w:val="002D2FEA"/>
    <w:rsid w:val="002F1B91"/>
    <w:rsid w:val="002F2690"/>
    <w:rsid w:val="002F3056"/>
    <w:rsid w:val="002F363E"/>
    <w:rsid w:val="002F3FBD"/>
    <w:rsid w:val="002F43A7"/>
    <w:rsid w:val="002F532C"/>
    <w:rsid w:val="00303500"/>
    <w:rsid w:val="00303C66"/>
    <w:rsid w:val="0030589D"/>
    <w:rsid w:val="00305B77"/>
    <w:rsid w:val="00316E58"/>
    <w:rsid w:val="00325549"/>
    <w:rsid w:val="00330045"/>
    <w:rsid w:val="00330385"/>
    <w:rsid w:val="00367903"/>
    <w:rsid w:val="00370A9E"/>
    <w:rsid w:val="003754C3"/>
    <w:rsid w:val="00376262"/>
    <w:rsid w:val="00376F1C"/>
    <w:rsid w:val="00385659"/>
    <w:rsid w:val="00394676"/>
    <w:rsid w:val="003970CB"/>
    <w:rsid w:val="003A413E"/>
    <w:rsid w:val="003A4A02"/>
    <w:rsid w:val="003A5376"/>
    <w:rsid w:val="003A7918"/>
    <w:rsid w:val="003B3054"/>
    <w:rsid w:val="003B5AF9"/>
    <w:rsid w:val="003B7D5D"/>
    <w:rsid w:val="003C67E3"/>
    <w:rsid w:val="003D1E05"/>
    <w:rsid w:val="003D55F9"/>
    <w:rsid w:val="003E5EA6"/>
    <w:rsid w:val="00411CAC"/>
    <w:rsid w:val="00411CFF"/>
    <w:rsid w:val="004216EA"/>
    <w:rsid w:val="00425FDC"/>
    <w:rsid w:val="00430F45"/>
    <w:rsid w:val="00444F7A"/>
    <w:rsid w:val="0044551B"/>
    <w:rsid w:val="00446DB8"/>
    <w:rsid w:val="00455ED3"/>
    <w:rsid w:val="00460A59"/>
    <w:rsid w:val="004645F5"/>
    <w:rsid w:val="00465385"/>
    <w:rsid w:val="00473AC5"/>
    <w:rsid w:val="004744DA"/>
    <w:rsid w:val="004773C8"/>
    <w:rsid w:val="004810A9"/>
    <w:rsid w:val="004863B8"/>
    <w:rsid w:val="004956F5"/>
    <w:rsid w:val="004A104D"/>
    <w:rsid w:val="004A170B"/>
    <w:rsid w:val="004A6E98"/>
    <w:rsid w:val="004C1616"/>
    <w:rsid w:val="004C6BD7"/>
    <w:rsid w:val="0051099C"/>
    <w:rsid w:val="00513D1D"/>
    <w:rsid w:val="005165CA"/>
    <w:rsid w:val="00517595"/>
    <w:rsid w:val="00530BD5"/>
    <w:rsid w:val="005372E6"/>
    <w:rsid w:val="005504AB"/>
    <w:rsid w:val="00564677"/>
    <w:rsid w:val="0057538A"/>
    <w:rsid w:val="005766FC"/>
    <w:rsid w:val="005832E1"/>
    <w:rsid w:val="005932A8"/>
    <w:rsid w:val="005963EE"/>
    <w:rsid w:val="00597DEB"/>
    <w:rsid w:val="005A4B13"/>
    <w:rsid w:val="005A609E"/>
    <w:rsid w:val="005B30BF"/>
    <w:rsid w:val="005C43E6"/>
    <w:rsid w:val="005E2E4D"/>
    <w:rsid w:val="005E3350"/>
    <w:rsid w:val="006123FF"/>
    <w:rsid w:val="00612854"/>
    <w:rsid w:val="00626E81"/>
    <w:rsid w:val="00631398"/>
    <w:rsid w:val="00641526"/>
    <w:rsid w:val="00642520"/>
    <w:rsid w:val="00657DCB"/>
    <w:rsid w:val="006607BF"/>
    <w:rsid w:val="00662E71"/>
    <w:rsid w:val="0067137A"/>
    <w:rsid w:val="006A0811"/>
    <w:rsid w:val="006C61A2"/>
    <w:rsid w:val="006D19D6"/>
    <w:rsid w:val="006D5284"/>
    <w:rsid w:val="006D6429"/>
    <w:rsid w:val="006F65E7"/>
    <w:rsid w:val="006F6A26"/>
    <w:rsid w:val="006F71B3"/>
    <w:rsid w:val="00702707"/>
    <w:rsid w:val="00710A4B"/>
    <w:rsid w:val="007220F0"/>
    <w:rsid w:val="00733456"/>
    <w:rsid w:val="007350F3"/>
    <w:rsid w:val="00750988"/>
    <w:rsid w:val="0075254F"/>
    <w:rsid w:val="00757C27"/>
    <w:rsid w:val="007809E3"/>
    <w:rsid w:val="00782648"/>
    <w:rsid w:val="00786736"/>
    <w:rsid w:val="00796EAB"/>
    <w:rsid w:val="007B3363"/>
    <w:rsid w:val="007B3B7F"/>
    <w:rsid w:val="007C122B"/>
    <w:rsid w:val="007C1921"/>
    <w:rsid w:val="007D7422"/>
    <w:rsid w:val="007E6BA2"/>
    <w:rsid w:val="007F15D4"/>
    <w:rsid w:val="007F1FC5"/>
    <w:rsid w:val="007F4AC2"/>
    <w:rsid w:val="007F5872"/>
    <w:rsid w:val="007F7345"/>
    <w:rsid w:val="00816AA2"/>
    <w:rsid w:val="00823008"/>
    <w:rsid w:val="00833F7C"/>
    <w:rsid w:val="00840E5F"/>
    <w:rsid w:val="00845FBD"/>
    <w:rsid w:val="0085616F"/>
    <w:rsid w:val="008579AF"/>
    <w:rsid w:val="008A3D50"/>
    <w:rsid w:val="008C2525"/>
    <w:rsid w:val="008D10D5"/>
    <w:rsid w:val="008D1FDE"/>
    <w:rsid w:val="008D677F"/>
    <w:rsid w:val="008E1C78"/>
    <w:rsid w:val="008E7137"/>
    <w:rsid w:val="009033C9"/>
    <w:rsid w:val="009158FA"/>
    <w:rsid w:val="00921155"/>
    <w:rsid w:val="0094183F"/>
    <w:rsid w:val="00952851"/>
    <w:rsid w:val="00970A01"/>
    <w:rsid w:val="00972694"/>
    <w:rsid w:val="009812EC"/>
    <w:rsid w:val="00983734"/>
    <w:rsid w:val="00983A16"/>
    <w:rsid w:val="009A693A"/>
    <w:rsid w:val="009A7389"/>
    <w:rsid w:val="009B4F96"/>
    <w:rsid w:val="009B77ED"/>
    <w:rsid w:val="009C002B"/>
    <w:rsid w:val="009C0B10"/>
    <w:rsid w:val="009C3FE6"/>
    <w:rsid w:val="009C75F1"/>
    <w:rsid w:val="009D62CF"/>
    <w:rsid w:val="009E6DDA"/>
    <w:rsid w:val="009F1A6A"/>
    <w:rsid w:val="00A21AEA"/>
    <w:rsid w:val="00A26C86"/>
    <w:rsid w:val="00A3765C"/>
    <w:rsid w:val="00A37DA8"/>
    <w:rsid w:val="00A51248"/>
    <w:rsid w:val="00A55D5B"/>
    <w:rsid w:val="00A571D6"/>
    <w:rsid w:val="00A74EAE"/>
    <w:rsid w:val="00A8716F"/>
    <w:rsid w:val="00A93226"/>
    <w:rsid w:val="00A953ED"/>
    <w:rsid w:val="00AA007B"/>
    <w:rsid w:val="00AC06F4"/>
    <w:rsid w:val="00AC10D7"/>
    <w:rsid w:val="00AD2C64"/>
    <w:rsid w:val="00B067DC"/>
    <w:rsid w:val="00B13712"/>
    <w:rsid w:val="00B216AB"/>
    <w:rsid w:val="00B24CB3"/>
    <w:rsid w:val="00B24D25"/>
    <w:rsid w:val="00B402F0"/>
    <w:rsid w:val="00B406C3"/>
    <w:rsid w:val="00B42F3F"/>
    <w:rsid w:val="00B60A89"/>
    <w:rsid w:val="00B62A20"/>
    <w:rsid w:val="00B77869"/>
    <w:rsid w:val="00B9031E"/>
    <w:rsid w:val="00BA4F72"/>
    <w:rsid w:val="00BB41D1"/>
    <w:rsid w:val="00BB41D3"/>
    <w:rsid w:val="00BC1DF7"/>
    <w:rsid w:val="00BC6FD2"/>
    <w:rsid w:val="00BE2BD3"/>
    <w:rsid w:val="00BE79D7"/>
    <w:rsid w:val="00BF05E3"/>
    <w:rsid w:val="00BF3A09"/>
    <w:rsid w:val="00C017A5"/>
    <w:rsid w:val="00C30664"/>
    <w:rsid w:val="00C308B6"/>
    <w:rsid w:val="00C42229"/>
    <w:rsid w:val="00C65085"/>
    <w:rsid w:val="00C758D3"/>
    <w:rsid w:val="00C867CF"/>
    <w:rsid w:val="00CA1F6A"/>
    <w:rsid w:val="00CA40A8"/>
    <w:rsid w:val="00CB052E"/>
    <w:rsid w:val="00CC4FD2"/>
    <w:rsid w:val="00CD2413"/>
    <w:rsid w:val="00CD38DD"/>
    <w:rsid w:val="00CD7BCD"/>
    <w:rsid w:val="00CE3BC0"/>
    <w:rsid w:val="00CE44BF"/>
    <w:rsid w:val="00CE5328"/>
    <w:rsid w:val="00D11224"/>
    <w:rsid w:val="00D1718E"/>
    <w:rsid w:val="00D453D0"/>
    <w:rsid w:val="00D5015D"/>
    <w:rsid w:val="00D545FB"/>
    <w:rsid w:val="00D749AE"/>
    <w:rsid w:val="00D9476D"/>
    <w:rsid w:val="00D94EA4"/>
    <w:rsid w:val="00DA7D09"/>
    <w:rsid w:val="00DB51D4"/>
    <w:rsid w:val="00DB555F"/>
    <w:rsid w:val="00DB5F7F"/>
    <w:rsid w:val="00DC5D72"/>
    <w:rsid w:val="00DC64D2"/>
    <w:rsid w:val="00DD0075"/>
    <w:rsid w:val="00DD2D4A"/>
    <w:rsid w:val="00DE19EA"/>
    <w:rsid w:val="00DE1D35"/>
    <w:rsid w:val="00E03053"/>
    <w:rsid w:val="00E03835"/>
    <w:rsid w:val="00E11CEE"/>
    <w:rsid w:val="00E23189"/>
    <w:rsid w:val="00E24040"/>
    <w:rsid w:val="00E34A8B"/>
    <w:rsid w:val="00E37438"/>
    <w:rsid w:val="00E526B8"/>
    <w:rsid w:val="00E61A22"/>
    <w:rsid w:val="00E6336D"/>
    <w:rsid w:val="00E6398F"/>
    <w:rsid w:val="00E719C4"/>
    <w:rsid w:val="00E720AB"/>
    <w:rsid w:val="00E75044"/>
    <w:rsid w:val="00E77938"/>
    <w:rsid w:val="00E82E60"/>
    <w:rsid w:val="00E942C0"/>
    <w:rsid w:val="00EA0518"/>
    <w:rsid w:val="00EA2752"/>
    <w:rsid w:val="00EC6A3B"/>
    <w:rsid w:val="00ED5B64"/>
    <w:rsid w:val="00ED73A6"/>
    <w:rsid w:val="00EE17C8"/>
    <w:rsid w:val="00EE215E"/>
    <w:rsid w:val="00F10AB0"/>
    <w:rsid w:val="00F25AEC"/>
    <w:rsid w:val="00F37E73"/>
    <w:rsid w:val="00F41FF4"/>
    <w:rsid w:val="00F66DF6"/>
    <w:rsid w:val="00F73FFC"/>
    <w:rsid w:val="00F748E8"/>
    <w:rsid w:val="00F81CDD"/>
    <w:rsid w:val="00F83212"/>
    <w:rsid w:val="00F85E55"/>
    <w:rsid w:val="00FA3EF9"/>
    <w:rsid w:val="00FA6CCD"/>
    <w:rsid w:val="00FC6357"/>
    <w:rsid w:val="00FD79F9"/>
    <w:rsid w:val="00FE50E5"/>
    <w:rsid w:val="00FF53ED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1904"/>
  <w15:chartTrackingRefBased/>
  <w15:docId w15:val="{9146BAB3-09C9-4C95-A801-0EC12F9A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F0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F0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F05E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F05E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F05E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F05E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F05E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F05E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F05E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F05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F0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F05E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F05E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F05E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F05E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F05E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F05E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F05E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F05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F0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F05E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F05E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F0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F05E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F05E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F05E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F0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F05E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F05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83EED2A57054E9916F18615497231" ma:contentTypeVersion="15" ma:contentTypeDescription="Opprett et nytt dokument." ma:contentTypeScope="" ma:versionID="33ae99d017015aba2d5ae482df51a8f3">
  <xsd:schema xmlns:xsd="http://www.w3.org/2001/XMLSchema" xmlns:xs="http://www.w3.org/2001/XMLSchema" xmlns:p="http://schemas.microsoft.com/office/2006/metadata/properties" xmlns:ns3="baf7b5cf-66c8-4c05-9b83-d6a91b3884af" xmlns:ns4="42279582-c9e7-4cda-b1b8-1dcc1ac60e07" targetNamespace="http://schemas.microsoft.com/office/2006/metadata/properties" ma:root="true" ma:fieldsID="2c3fd20d54fb51e88195ee35e79e0e67" ns3:_="" ns4:_="">
    <xsd:import namespace="baf7b5cf-66c8-4c05-9b83-d6a91b3884af"/>
    <xsd:import namespace="42279582-c9e7-4cda-b1b8-1dcc1ac60e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7b5cf-66c8-4c05-9b83-d6a91b3884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79582-c9e7-4cda-b1b8-1dcc1ac60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279582-c9e7-4cda-b1b8-1dcc1ac60e07" xsi:nil="true"/>
  </documentManagement>
</p:properties>
</file>

<file path=customXml/itemProps1.xml><?xml version="1.0" encoding="utf-8"?>
<ds:datastoreItem xmlns:ds="http://schemas.openxmlformats.org/officeDocument/2006/customXml" ds:itemID="{08D5F0A8-5D40-4BB2-9B28-E403E93E91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1420C4-7840-4486-BF61-FDE4FF136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f7b5cf-66c8-4c05-9b83-d6a91b3884af"/>
    <ds:schemaRef ds:uri="42279582-c9e7-4cda-b1b8-1dcc1ac60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94E2A2-EB87-414C-9D9E-3755B9015293}">
  <ds:schemaRefs>
    <ds:schemaRef ds:uri="http://schemas.microsoft.com/office/2006/metadata/properties"/>
    <ds:schemaRef ds:uri="http://schemas.microsoft.com/office/infopath/2007/PartnerControls"/>
    <ds:schemaRef ds:uri="42279582-c9e7-4cda-b1b8-1dcc1ac60e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1823</Words>
  <Characters>9665</Characters>
  <Application>Microsoft Office Word</Application>
  <DocSecurity>4</DocSecurity>
  <Lines>80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Inge Bjerknes</dc:creator>
  <cp:keywords/>
  <dc:description/>
  <cp:lastModifiedBy>Solfrid Kjærvoll-Birkedal</cp:lastModifiedBy>
  <cp:revision>2</cp:revision>
  <dcterms:created xsi:type="dcterms:W3CDTF">2024-10-19T10:57:00Z</dcterms:created>
  <dcterms:modified xsi:type="dcterms:W3CDTF">2024-10-19T10:57:00Z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0x01010020083EED2A57054E9916F18615497231</vt:lpwstr>
  </property>
</Properties>
</file>